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2017/49 vom 18. Januar 2019</w:t>
      </w:r>
    </w:p>
    <w:p>
      <w:r>
        <w:t>Sg Versicherungsgericht, 2019-01-18, DE</w:t>
      </w:r>
    </w:p>
    <w:p>
      <w:r>
        <w:rPr>
          <w:b/>
        </w:rPr>
        <w:t xml:space="preserve">Quelle: </w:t>
      </w:r>
      <w:r>
        <w:t>https://mcp.opencaselaw.ch/entscheid/sg_publikationen_AVI 2017_49</w:t>
      </w:r>
    </w:p>
    <w:p>
      <w:r>
        <w:t>FR: SG_VERSICHERUNGSGERICHT AVI 2017/49 du 18 janvier 2019</w:t>
      </w:r>
    </w:p>
    <w:p>
      <w:r>
        <w:t>IT: SG_VERSICHERUNGSGERICHT AVI 2017/49 del 18 gennaio 2019</w:t>
      </w:r>
    </w:p>
    <w:p>
      <w:pPr>
        <w:pStyle w:val="Heading2"/>
      </w:pPr>
      <w:r>
        <w:t>Regeste</w:t>
      </w:r>
    </w:p>
    <w:p>
      <w:r>
        <w:t>Art. 52 AVIG, Art. 74 AVIV; Auch wenn die Arbeitgeberin verpflichtet gewesen wäre, eine Arbeitszeiterfassung zu führen, kann bei deren Fehlen nicht unbesehen auf die vom Arbeitnehmer geltend gemachten Überstunden abgestellt werden. Vielmehr sind dessen Angaben im Rahmen der freien Beweiswürdigung zu überprüfen (Entscheid des Versicherungsgerichts des Kantons St. Gallen vom 18. Januar 2019, AVI 2017/49).</w:t>
      </w:r>
    </w:p>
    <w:p>
      <w:pPr>
        <w:pStyle w:val="Heading2"/>
      </w:pPr>
      <w:r>
        <w:t>Erwägungen</w:t>
      </w:r>
    </w:p>
    <w:p>
      <w:r>
        <w:rPr>
          <w:b/>
        </w:rPr>
        <w:t>E. 1</w:t>
      </w:r>
    </w:p>
    <w:p>
      <w:r>
        <w:t>1.1  Als Lohn im Sinne von Art. 52 Abs. 1 des Bundesgesetzes über die obligatorische Arbeitslosenversicherung und die Insolvenzentschädigung (AVIG; SR 837.0) ist der massgebende Lohn aus unselbständiger Erwerbstätigkeit im Sinne der AHV-Gesetzgebung zu verstehen. Als Lohn gelten auch die geschuldeten Zulagen. Leistungen ausserhalb des massgebenden Lohnes, für die kein Anspruch auf Insolvenzentschädigung besteht, sind namentlich Unkostenentschädigungen (Spesen, insbesondere Reisespesen, Verpflegungszuschläge, Auslagen für Arbeitsmaterial; AVIG-Praxis Insolvenzentschädigung [IE], Rz B11 f.). 1.2  Die Kasse darf eine Insolvenzentschädigung nur ausrichten, wenn der Arbeitnehmer seine Lohnforderung glaubhaft macht (Art. 74 der Verordnung über die obligatorische Arbeitslosenversicherung und die Insolvenzentschädigung [AVIV; SR 837.02]). Das Arbeitslosenversicherungsrecht ist vom Untersuchungsgrundsatz beherrscht, gemildert durch die Mitwirkungspflicht der Parteien. Der Untersuchungsgrundsatz schliesst die Beweislast im Sinne der Beweisführungslast begriffsnotwendig aus. Die Parteien tragen die Beweislast aber insofern, als im Falle der Beweislosigkeit der Entscheid zu Ungunsten jener Partei ausfällt, die aus dem unbewiesen gebliebenen Sachverhalt Rechte ableiten wollte. Diese Beweisregel gelangt allerdings erst dann zur Anwendung, wenn es sich als unmöglich erweist, im Rahmen des Untersuchungsgrundsatzes einen Sachverhalt zu ermitteln, der die (im Einzelfall) hinreichende Wahrscheinlichkeit für sich hat, der Wirklichkeit zu entsprechen. Art. 74 AVIV stellt mithin eine Beweislastregel auf. Für die Lohnforderung bedeutet das, dass sowohl ihr Bestand als auch ihre Höhe glaubhaft sein müssen (URS BURGHERR, a.a.O., S. 113 ff.). 1.3  Gegenüber dem im Sozialversicherungsrecht sonst üblichen Beweisgrad der überwiegenden Wahrscheinlichkeit genügt es für das Glaubhaftmachen bereits, wenn ein erheblicher Grad von Wahrscheinlichkeit für die Annahme eines rechtserheblichen Sachverhalts vorliegt, auch wenn durchaus noch mit der Möglichkeit gerechnet werden muss, bei eingehender Abklärung werde sich der behauptete Sachverhalt nicht erstellen lassen. Die Verwaltung darf noch gewisse, wenn auch nicht erhebliche Zweifel hegen. Bei Zweifeln prüft sie die Angaben des Versicherten im Rahmen des Möglichen. Erscheinen Lohnforderungen als unglaubhaft und können sie durch nichts gestützt werden, führt dies zur Ablehnung des Entschädigungsanspruchs (URS BURGHERR, a.a.O., S. 115 f.).</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